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7 (Financial Difficulties)</w:t>
      </w:r>
    </w:p>
    <w:p w:rsidR="00000000" w:rsidDel="00000000" w:rsidP="00000000" w:rsidRDefault="00000000" w:rsidRPr="00000000" w14:paraId="00000002">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7560.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62"/>
        <w:gridCol w:w="5098"/>
        <w:tblGridChange w:id="0">
          <w:tblGrid>
            <w:gridCol w:w="2462"/>
            <w:gridCol w:w="5098"/>
          </w:tblGrid>
        </w:tblGridChange>
      </w:tblGrid>
      <w:tr>
        <w:tc>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Threshold"</w:t>
            </w:r>
          </w:p>
        </w:tc>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minimum credit rating level for the Monitored Company as set out in Annex 2 </w:t>
            </w:r>
          </w:p>
        </w:tc>
      </w:tr>
      <w:tr>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w:t>
            </w:r>
          </w:p>
        </w:tc>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occurrence or one or more of the following events:</w:t>
            </w:r>
          </w:p>
          <w:p w:rsidR="00000000" w:rsidDel="00000000" w:rsidP="00000000" w:rsidRDefault="00000000" w:rsidRPr="00000000" w14:paraId="0000000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credit rating of the Monitored Company dropping below the applicable Credit Rating Threshold;</w:t>
            </w:r>
          </w:p>
          <w:p w:rsidR="00000000" w:rsidDel="00000000" w:rsidP="00000000" w:rsidRDefault="00000000" w:rsidRPr="00000000" w14:paraId="0000000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Monitored Company issuing a profits warning to a stock exchange or making any other public announcement about a material deterioration in its financial position or prospects;</w:t>
            </w:r>
          </w:p>
          <w:p w:rsidR="00000000" w:rsidDel="00000000" w:rsidP="00000000" w:rsidRDefault="00000000" w:rsidRPr="00000000" w14:paraId="0000000A">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being a public investigation into improper financial accounting and reporting, suspected fraud or any other impropriety of the Monitored </w:t>
            </w:r>
            <w:r w:rsidDel="00000000" w:rsidR="00000000" w:rsidRPr="00000000">
              <w:rPr>
                <w:rFonts w:ascii="Arial" w:cs="Arial" w:eastAsia="Arial" w:hAnsi="Arial"/>
                <w:sz w:val="24"/>
                <w:szCs w:val="24"/>
                <w:rtl w:val="0"/>
              </w:rPr>
              <w:t xml:space="preserve">Party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B">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Monitored Company committing a material breach of covenant to its lenders; </w:t>
            </w:r>
          </w:p>
          <w:p w:rsidR="00000000" w:rsidDel="00000000" w:rsidP="00000000" w:rsidRDefault="00000000" w:rsidRPr="00000000" w14:paraId="0000000C">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Key Subcontractor (where applicable) notifying CCS that the Supplier has not satisfied any sums properly due under a specified invoice and not subject to a genuine dispute; or</w:t>
            </w:r>
          </w:p>
          <w:p w:rsidR="00000000" w:rsidDel="00000000" w:rsidP="00000000" w:rsidRDefault="00000000" w:rsidRPr="00000000" w14:paraId="0000000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w:t>
            </w:r>
          </w:p>
          <w:p w:rsidR="00000000" w:rsidDel="00000000" w:rsidP="00000000" w:rsidRDefault="00000000" w:rsidRPr="00000000" w14:paraId="0000000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commencement of any litigation against the Monitored Company with respect to financial indebtedness or obligations under a contract; </w:t>
            </w:r>
          </w:p>
          <w:p w:rsidR="00000000" w:rsidDel="00000000" w:rsidP="00000000" w:rsidRDefault="00000000" w:rsidRPr="00000000" w14:paraId="0000000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non-payment by the Monitored Company of any financial indebtedness;</w:t>
            </w:r>
          </w:p>
          <w:p w:rsidR="00000000" w:rsidDel="00000000" w:rsidP="00000000" w:rsidRDefault="00000000" w:rsidRPr="00000000" w14:paraId="0000001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financial indebtedness of the Monitored Company becoming due as a result of an event of default; or</w:t>
            </w:r>
          </w:p>
          <w:p w:rsidR="00000000" w:rsidDel="00000000" w:rsidP="00000000" w:rsidRDefault="00000000" w:rsidRPr="00000000" w14:paraId="0000001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cancellation or suspension of any financial indebtedness in respect of the Monitored Company</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which CCS reasonably believes (or would be likely reasonably to believe) could directly impact on the continued performance of any Contract and delivery of the Deliverables in accordance with any Call-Off Contract;</w:t>
            </w:r>
          </w:p>
        </w:tc>
      </w:tr>
      <w:t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Service Continuity Plan"</w:t>
            </w:r>
          </w:p>
        </w:tc>
        <w:tc>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setting out how the Supplier will ensure the continued performance and delivery of the Deliverables in accordance with each Call-Off Contract in the event that a Financial Distress Event occurs;</w:t>
            </w:r>
          </w:p>
        </w:tc>
      </w:tr>
      <w:t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Company”</w:t>
            </w:r>
          </w:p>
        </w:tc>
        <w:tc>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Framework Guarantor/ [and Call-Off Guarantor] or any Key Subcontractor]</w:t>
            </w:r>
            <w:r w:rsidDel="00000000" w:rsidR="00000000" w:rsidRPr="00000000">
              <w:rPr>
                <w:rtl w:val="0"/>
              </w:rPr>
            </w:r>
          </w:p>
        </w:tc>
      </w:tr>
      <w:tr>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"Rating Agencies"</w:t>
            </w:r>
          </w:p>
        </w:tc>
        <w:tc>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rating agencies listed in Annex 1.</w:t>
            </w:r>
          </w:p>
        </w:tc>
      </w:tr>
    </w:tbl>
    <w:p w:rsidR="00000000" w:rsidDel="00000000" w:rsidP="00000000" w:rsidRDefault="00000000" w:rsidRPr="00000000" w14:paraId="00000019">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this Schedule applies</w:t>
      </w:r>
      <w:r w:rsidDel="00000000" w:rsidR="00000000" w:rsidRPr="00000000">
        <w:rPr>
          <w:rtl w:val="0"/>
        </w:rPr>
      </w:r>
    </w:p>
    <w:p w:rsidR="00000000" w:rsidDel="00000000" w:rsidP="00000000" w:rsidRDefault="00000000" w:rsidRPr="00000000" w14:paraId="0000001A">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comply with the provisions of this Schedule in relation to the assessment of the financial standing of the Monitored Companies and the consequences of a change to that financial standing.</w:t>
      </w:r>
    </w:p>
    <w:p w:rsidR="00000000" w:rsidDel="00000000" w:rsidP="00000000" w:rsidRDefault="00000000" w:rsidRPr="00000000" w14:paraId="0000001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terms of this Schedule shall survive: </w:t>
      </w:r>
    </w:p>
    <w:p w:rsidR="00000000" w:rsidDel="00000000" w:rsidP="00000000" w:rsidRDefault="00000000" w:rsidRPr="00000000" w14:paraId="0000001C">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000000" w:rsidDel="00000000" w:rsidP="00000000" w:rsidRDefault="00000000" w:rsidRPr="00000000" w14:paraId="0000001D">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Call-Off Contract until the termination or expiry of the Call-Off-Contract.</w:t>
      </w:r>
    </w:p>
    <w:p w:rsidR="00000000" w:rsidDel="00000000" w:rsidP="00000000" w:rsidRDefault="00000000" w:rsidRPr="00000000" w14:paraId="0000001E">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when your credit rating changes</w:t>
      </w:r>
      <w:r w:rsidDel="00000000" w:rsidR="00000000" w:rsidRPr="00000000">
        <w:rPr>
          <w:rtl w:val="0"/>
        </w:rPr>
      </w:r>
    </w:p>
    <w:p w:rsidR="00000000" w:rsidDel="00000000" w:rsidP="00000000" w:rsidRDefault="00000000" w:rsidRPr="00000000" w14:paraId="0000001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and represents to CCS that as at the Start Date the long term credit ratings issued for the Monitored Companies by each of the Rating Agencies are as set out in Annex 2. </w:t>
      </w:r>
    </w:p>
    <w:p w:rsidR="00000000" w:rsidDel="00000000" w:rsidP="00000000" w:rsidRDefault="00000000" w:rsidRPr="00000000" w14:paraId="00000020">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(and in any event within five (5) Working Days) notify CCS in writing if there is any downgrade in the credit rating issued by any Rating Agency for a Monitored Company.</w:t>
      </w:r>
    </w:p>
    <w:p w:rsidR="00000000" w:rsidDel="00000000" w:rsidP="00000000" w:rsidRDefault="00000000" w:rsidRPr="00000000" w14:paraId="0000002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any downgrade credit rating issued by any Rating Agency for the Monitored Company the Supplier shall ensure that the Monitored Company’s auditors thereafter provide CCS within 10 Working Days of the end of each Contract Year and within 10 Working Days of written request by CCS (such requests not to exceed 4 in any Contract Year) with written calculations of the quick ratio for the Monitored Company as at the end of each Contract Year or such other date as may be requested by CCS.  For these purposes the "quick ratio" on any date means:</w:t>
      </w:r>
    </w:p>
    <w:p w:rsidR="00000000" w:rsidDel="00000000" w:rsidP="00000000" w:rsidRDefault="00000000" w:rsidRPr="00000000" w14:paraId="00000022">
      <w:pPr>
        <w:ind w:firstLine="1134"/>
        <w:jc w:val="left"/>
        <w:rPr>
          <w:rFonts w:ascii="Arial" w:cs="Arial" w:eastAsia="Arial" w:hAnsi="Arial"/>
          <w:sz w:val="24"/>
          <w:szCs w:val="24"/>
        </w:rPr>
      </w:pPr>
      <w:r w:rsidDel="00000000" w:rsidR="00000000" w:rsidRPr="00000000">
        <w:rPr>
          <w:rFonts w:ascii="Arial" w:cs="Arial" w:eastAsia="Arial" w:hAnsi="Arial"/>
          <w:sz w:val="24"/>
          <w:szCs w:val="24"/>
        </w:rPr>
        <w:drawing>
          <wp:inline distB="0" distT="0" distL="0" distR="0">
            <wp:extent cx="609600" cy="163195"/>
            <wp:effectExtent b="0" l="0" r="0" t="0"/>
            <wp:docPr id="6"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609600" cy="163195"/>
                    </a:xfrm>
                    <a:prstGeom prst="rect"/>
                    <a:ln/>
                  </pic:spPr>
                </pic:pic>
              </a:graphicData>
            </a:graphic>
          </wp:inline>
        </w:drawing>
      </w:r>
      <w:r w:rsidDel="00000000" w:rsidR="00000000" w:rsidRPr="00000000">
        <w:rPr>
          <w:rFonts w:ascii="Arial" w:cs="Arial" w:eastAsia="Arial" w:hAnsi="Arial"/>
          <w:sz w:val="24"/>
          <w:szCs w:val="24"/>
        </w:rPr>
        <w:drawing>
          <wp:inline distB="0" distT="0" distL="0" distR="0">
            <wp:extent cx="609600" cy="315595"/>
            <wp:effectExtent b="0" l="0" r="0" t="0"/>
            <wp:docPr id="7"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609600" cy="315595"/>
                    </a:xfrm>
                    <a:prstGeom prst="rect"/>
                    <a:ln/>
                  </pic:spPr>
                </pic:pic>
              </a:graphicData>
            </a:graphic>
          </wp:inline>
        </w:drawing>
      </w: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w:t>
      </w:r>
    </w:p>
    <w:tbl>
      <w:tblPr>
        <w:tblStyle w:val="Table2"/>
        <w:tblW w:w="8317.0" w:type="dxa"/>
        <w:jc w:val="left"/>
        <w:tblInd w:w="70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24"/>
        <w:gridCol w:w="6793"/>
        <w:tblGridChange w:id="0">
          <w:tblGrid>
            <w:gridCol w:w="1524"/>
            <w:gridCol w:w="6793"/>
          </w:tblGrid>
        </w:tblGridChange>
      </w:tblGrid>
      <w:tr>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r>
          </w:p>
        </w:tc>
        <w:tc>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all cash in hand and at the bank of the Monitored Company;</w:t>
            </w:r>
            <w:r w:rsidDel="00000000" w:rsidR="00000000" w:rsidRPr="00000000">
              <w:rPr>
                <w:rtl w:val="0"/>
              </w:rPr>
            </w:r>
          </w:p>
        </w:tc>
      </w:tr>
      <w:tr>
        <w:tc>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r>
          </w:p>
        </w:tc>
        <w:tc>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of all marketable securities held by the Supplier the Monitored Company determined using closing prices on the Working Day preceding the relevant date; </w:t>
            </w:r>
          </w:p>
        </w:tc>
      </w:tr>
      <w:tr>
        <w:tc>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r>
          </w:p>
        </w:tc>
        <w:tc>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all account receivables of the Monitored; and</w:t>
            </w:r>
          </w:p>
        </w:tc>
      </w:tr>
      <w:tr>
        <w:tc>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r>
          </w:p>
        </w:tc>
        <w:tc>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the current liabilities of the Monitored Company.</w:t>
            </w:r>
          </w:p>
        </w:tc>
      </w:tr>
    </w:tbl>
    <w:p w:rsidR="00000000" w:rsidDel="00000000" w:rsidP="00000000" w:rsidRDefault="00000000" w:rsidRPr="00000000" w14:paraId="0000002C">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t>
      </w:r>
    </w:p>
    <w:p w:rsidR="00000000" w:rsidDel="00000000" w:rsidP="00000000" w:rsidRDefault="00000000" w:rsidRPr="00000000" w14:paraId="0000002D">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monitor the credit ratings of each Monitored Company with the Rating Agencies; and </w:t>
      </w:r>
    </w:p>
    <w:p w:rsidR="00000000" w:rsidDel="00000000" w:rsidP="00000000" w:rsidRDefault="00000000" w:rsidRPr="00000000" w14:paraId="0000002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2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000000" w:rsidDel="00000000" w:rsidP="00000000" w:rsidRDefault="00000000" w:rsidRPr="00000000" w14:paraId="00000030">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financial distress event</w:t>
      </w:r>
      <w:r w:rsidDel="00000000" w:rsidR="00000000" w:rsidRPr="00000000">
        <w:rPr>
          <w:rtl w:val="0"/>
        </w:rPr>
      </w:r>
    </w:p>
    <w:p w:rsidR="00000000" w:rsidDel="00000000" w:rsidP="00000000" w:rsidRDefault="00000000" w:rsidRPr="00000000" w14:paraId="0000003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Financial Distress Event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4.3 to 4.6.</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5"/>
      <w:bookmarkEnd w:id="5"/>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delete this clause if there are no Key Subcontractors or the Key Subcontractors are not</w:t>
      </w:r>
      <w:bookmarkStart w:colFirst="0" w:colLast="0" w:name="bookmark=id.tyjcwt"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Monitored Company]</w:t>
      </w:r>
    </w:p>
    <w:p w:rsidR="00000000" w:rsidDel="00000000" w:rsidP="00000000" w:rsidRDefault="00000000" w:rsidRPr="00000000" w14:paraId="0000003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 Financial Distress Event arises due to a Key Subcontractor notifying CCS that the Supplier has not satisfied any sums properly due under a specified invoice and not subject to a genuine dispute then, CCS shall not exercise any of its rights or remedies under Paragraph 4.3 without first giving the Supplier ten (10) Working Days to:</w:t>
      </w:r>
    </w:p>
    <w:p w:rsidR="00000000" w:rsidDel="00000000" w:rsidP="00000000" w:rsidRDefault="00000000" w:rsidRPr="00000000" w14:paraId="00000034">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rectify such late or non-payment; or </w:t>
      </w:r>
    </w:p>
    <w:p w:rsidR="00000000" w:rsidDel="00000000" w:rsidP="00000000" w:rsidRDefault="00000000" w:rsidRPr="00000000" w14:paraId="00000035">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to CCS's reasonable satisfaction that there is a valid reason for late or non-payment.]</w:t>
      </w:r>
    </w:p>
    <w:p w:rsidR="00000000" w:rsidDel="00000000" w:rsidP="00000000" w:rsidRDefault="00000000" w:rsidRPr="00000000" w14:paraId="00000036">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other Monitored Companies shall:</w:t>
      </w:r>
    </w:p>
    <w:p w:rsidR="00000000" w:rsidDel="00000000" w:rsidP="00000000" w:rsidRDefault="00000000" w:rsidRPr="00000000" w14:paraId="00000037">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request of CCS meet CCS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rsidR="00000000" w:rsidDel="00000000" w:rsidP="00000000" w:rsidRDefault="00000000" w:rsidRPr="00000000" w14:paraId="00000038">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CCS reasonably believes (taking into account the discussions and any representations made under Paragraph 4.3.1) that the Financial Distress Event could impact on the continued performance of each Contract and delivery of the Deliverables in accordance with each Call-Off Contract: </w:t>
      </w:r>
    </w:p>
    <w:p w:rsidR="00000000" w:rsidDel="00000000" w:rsidP="00000000" w:rsidRDefault="00000000" w:rsidRPr="00000000" w14:paraId="00000039">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to CCS for its Approval, a draft Financial Distress Service Continuity Plan as soon as reasonably practicable (and in any event, within ten (10) Working Days of the initial notification (or awareness) of the Financial Distress Event); and</w:t>
      </w:r>
    </w:p>
    <w:p w:rsidR="00000000" w:rsidDel="00000000" w:rsidP="00000000" w:rsidRDefault="00000000" w:rsidRPr="00000000" w14:paraId="0000003A">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such financial information relating to the Monitored Company as CCS may reasonably require.</w:t>
      </w:r>
    </w:p>
    <w:p w:rsidR="00000000" w:rsidDel="00000000" w:rsidP="00000000" w:rsidRDefault="00000000" w:rsidRPr="00000000" w14:paraId="0000003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 This process shall be repeated until the Financial Distress Service Continuity Plan is Approved by CCS or referred to the Dispute Resolution Procedure.</w:t>
      </w:r>
    </w:p>
    <w:p w:rsidR="00000000" w:rsidDel="00000000" w:rsidP="00000000" w:rsidRDefault="00000000" w:rsidRPr="00000000" w14:paraId="0000003C">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rsidR="00000000" w:rsidDel="00000000" w:rsidP="00000000" w:rsidRDefault="00000000" w:rsidRPr="00000000" w14:paraId="0000003D">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the Financial Distress Service Continuity Plan by CCS, the Supplier shall:</w:t>
      </w:r>
    </w:p>
    <w:p w:rsidR="00000000" w:rsidDel="00000000" w:rsidP="00000000" w:rsidRDefault="00000000" w:rsidRPr="00000000" w14:paraId="0000003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p>
    <w:p w:rsidR="00000000" w:rsidDel="00000000" w:rsidP="00000000" w:rsidRDefault="00000000" w:rsidRPr="00000000" w14:paraId="0000003F">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rsidR="00000000" w:rsidDel="00000000" w:rsidP="00000000" w:rsidRDefault="00000000" w:rsidRPr="00000000" w14:paraId="00000040">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Financial Distress Service Continuity Plan (including any updated Financial Distress Service Continuity Plan).</w:t>
      </w:r>
    </w:p>
    <w:p w:rsidR="00000000" w:rsidDel="00000000" w:rsidP="00000000" w:rsidRDefault="00000000" w:rsidRPr="00000000" w14:paraId="0000004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4.64.6. </w:t>
      </w:r>
    </w:p>
    <w:p w:rsidR="00000000" w:rsidDel="00000000" w:rsidP="00000000" w:rsidRDefault="00000000" w:rsidRPr="00000000" w14:paraId="00000042">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be able to share any information it receives from the Buyer in accordance with this Paragraph with any Buyer who has entered into a Call-Off Contract with the Supplier.</w:t>
      </w:r>
    </w:p>
    <w:p w:rsidR="00000000" w:rsidDel="00000000" w:rsidP="00000000" w:rsidRDefault="00000000" w:rsidRPr="00000000" w14:paraId="00000043">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CCS or the Buyer can terminate for financial distress </w:t>
      </w:r>
      <w:r w:rsidDel="00000000" w:rsidR="00000000" w:rsidRPr="00000000">
        <w:rPr>
          <w:rtl w:val="0"/>
        </w:rPr>
      </w:r>
    </w:p>
    <w:p w:rsidR="00000000" w:rsidDel="00000000" w:rsidP="00000000" w:rsidRDefault="00000000" w:rsidRPr="00000000" w14:paraId="00000044">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be entitled to terminate this Contract and Buyers shall be entitled to terminate their Call-Off Contracts for material Default if: </w:t>
      </w:r>
    </w:p>
    <w:p w:rsidR="00000000" w:rsidDel="00000000" w:rsidP="00000000" w:rsidRDefault="00000000" w:rsidRPr="00000000" w14:paraId="00000045">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notify CCS of a Financial Distress Event in accordance with Paragraph 3.4; </w:t>
      </w:r>
    </w:p>
    <w:p w:rsidR="00000000" w:rsidDel="00000000" w:rsidP="00000000" w:rsidRDefault="00000000" w:rsidRPr="00000000" w14:paraId="00000046">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and the Supplier fail to agree a Financial Distress Service Continuity Plan (or any updated Financial Distress Service Continuity Plan) in accordance with Paragraphs 4.3 to 4.5; and/or</w:t>
      </w:r>
    </w:p>
    <w:p w:rsidR="00000000" w:rsidDel="00000000" w:rsidP="00000000" w:rsidRDefault="00000000" w:rsidRPr="00000000" w14:paraId="00000047">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comply with the terms of the Financial Distress Service Continuity Plan (or any updated Financial Distress Service Continuity Plan) in accordance with Paragraph 4.6.3.</w:t>
      </w:r>
    </w:p>
    <w:p w:rsidR="00000000" w:rsidDel="00000000" w:rsidP="00000000" w:rsidRDefault="00000000" w:rsidRPr="00000000" w14:paraId="00000048">
      <w:pPr>
        <w:tabs>
          <w:tab w:val="left" w:pos="1985"/>
        </w:tabs>
        <w:spacing w:before="24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5.2 If the Contract is terminated in accordance with Paragraph 5.1, Clauses 10.6.1  and 10.6.2 of the Core Terms shall apply as if the Contract had been terminated under Clause 10.4.1.</w:t>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0" w:right="0" w:firstLine="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your credit rating is still good</w:t>
      </w:r>
      <w:r w:rsidDel="00000000" w:rsidR="00000000" w:rsidRPr="00000000">
        <w:rPr>
          <w:rtl w:val="0"/>
        </w:rPr>
      </w:r>
    </w:p>
    <w:p w:rsidR="00000000" w:rsidDel="00000000" w:rsidP="00000000" w:rsidRDefault="00000000" w:rsidRPr="00000000" w14:paraId="0000004A">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rsidR="00000000" w:rsidDel="00000000" w:rsidP="00000000" w:rsidRDefault="00000000" w:rsidRPr="00000000" w14:paraId="0000004B">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relieved automatically of its obligations under Paragraphs 4.3 to 4.6; and</w:t>
      </w:r>
    </w:p>
    <w:p w:rsidR="00000000" w:rsidDel="00000000" w:rsidP="00000000" w:rsidRDefault="00000000" w:rsidRPr="00000000" w14:paraId="0000004C">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not be entitled to require the Supplier to provide financial information in accordance with Paragraph 4.3.2(b). </w:t>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fffff"/>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E">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y810tw" w:id="19"/>
      <w:bookmarkEnd w:id="19"/>
      <w:r w:rsidDel="00000000" w:rsidR="00000000" w:rsidRPr="00000000">
        <w:br w:type="page"/>
      </w:r>
      <w:r w:rsidDel="00000000" w:rsidR="00000000" w:rsidRPr="00000000">
        <w:rPr>
          <w:rtl w:val="0"/>
        </w:rPr>
      </w:r>
    </w:p>
    <w:p w:rsidR="00000000" w:rsidDel="00000000" w:rsidP="00000000" w:rsidRDefault="00000000" w:rsidRPr="00000000" w14:paraId="0000004F">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4i7ojhp" w:id="20"/>
      <w:bookmarkEnd w:id="20"/>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ANNEX 1: RATING AGENCIES</w:t>
      </w:r>
    </w:p>
    <w:p w:rsidR="00000000" w:rsidDel="00000000" w:rsidP="00000000" w:rsidRDefault="00000000" w:rsidRPr="00000000" w14:paraId="00000050">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Dun &amp; Bradstreet</w:t>
      </w:r>
      <w:r w:rsidDel="00000000" w:rsidR="00000000" w:rsidRPr="00000000">
        <w:rPr>
          <w:rtl w:val="0"/>
        </w:rPr>
      </w:r>
    </w:p>
    <w:p w:rsidR="00000000" w:rsidDel="00000000" w:rsidP="00000000" w:rsidRDefault="00000000" w:rsidRPr="00000000" w14:paraId="00000051">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2xcytpi" w:id="21"/>
      <w:bookmarkEnd w:id="21"/>
      <w:r w:rsidDel="00000000" w:rsidR="00000000" w:rsidRPr="00000000">
        <w:br w:type="page"/>
      </w:r>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ANNEX 2: CREDIT RATINGS &amp; CREDIT RATING THRESHOLDS</w:t>
      </w:r>
      <w:r w:rsidDel="00000000" w:rsidR="00000000" w:rsidRPr="00000000">
        <w:rPr>
          <w:rtl w:val="0"/>
        </w:rPr>
      </w:r>
    </w:p>
    <w:p w:rsidR="00000000" w:rsidDel="00000000" w:rsidP="00000000" w:rsidRDefault="00000000" w:rsidRPr="00000000" w14:paraId="00000053">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 1: Current Rating</w:t>
      </w:r>
      <w:r w:rsidDel="00000000" w:rsidR="00000000" w:rsidRPr="00000000">
        <w:rPr>
          <w:rtl w:val="0"/>
        </w:rPr>
      </w:r>
    </w:p>
    <w:tbl>
      <w:tblPr>
        <w:tblStyle w:val="Table3"/>
        <w:tblW w:w="6161.0" w:type="dxa"/>
        <w:jc w:val="left"/>
        <w:tblInd w:w="0.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c>
          <w:tcPr>
            <w:tcBorders>
              <w:top w:color="000000" w:space="0" w:sz="4" w:val="single"/>
            </w:tcBorders>
            <w:shd w:fill="ffffff" w:val="clear"/>
          </w:tcPr>
          <w:p w:rsidR="00000000" w:rsidDel="00000000" w:rsidP="00000000" w:rsidRDefault="00000000" w:rsidRPr="00000000" w14:paraId="00000054">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Entity</w:t>
            </w:r>
          </w:p>
        </w:tc>
        <w:tc>
          <w:tcPr>
            <w:tcBorders>
              <w:top w:color="000000" w:space="0" w:sz="4" w:val="single"/>
            </w:tcBorders>
            <w:shd w:fill="ffffff" w:val="clear"/>
          </w:tcPr>
          <w:p w:rsidR="00000000" w:rsidDel="00000000" w:rsidP="00000000" w:rsidRDefault="00000000" w:rsidRPr="00000000" w14:paraId="00000055">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(long term)</w:t>
            </w:r>
          </w:p>
        </w:tc>
      </w:tr>
      <w:tr>
        <w:tc>
          <w:tcPr>
            <w:shd w:fill="ffffff" w:val="clear"/>
          </w:tcPr>
          <w:p w:rsidR="00000000" w:rsidDel="00000000" w:rsidP="00000000" w:rsidRDefault="00000000" w:rsidRPr="00000000" w14:paraId="00000056">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w:t>
            </w:r>
          </w:p>
        </w:tc>
        <w:tc>
          <w:tcPr>
            <w:shd w:fill="ffffff" w:val="clear"/>
          </w:tcPr>
          <w:p w:rsidR="00000000" w:rsidDel="00000000" w:rsidP="00000000" w:rsidRDefault="00000000" w:rsidRPr="00000000" w14:paraId="0000005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51</w:t>
            </w:r>
            <w:r w:rsidDel="00000000" w:rsidR="00000000" w:rsidRPr="00000000">
              <w:rPr>
                <w:rtl w:val="0"/>
              </w:rPr>
            </w:r>
          </w:p>
        </w:tc>
      </w:tr>
      <w:tr>
        <w:tc>
          <w:tcPr>
            <w:shd w:fill="ffffff" w:val="clear"/>
          </w:tcPr>
          <w:p w:rsidR="00000000" w:rsidDel="00000000" w:rsidP="00000000" w:rsidRDefault="00000000" w:rsidRPr="00000000" w14:paraId="0000005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[Framework Guarantor/ [and Call-Off Guarantor]</w:t>
            </w:r>
            <w:r w:rsidDel="00000000" w:rsidR="00000000" w:rsidRPr="00000000">
              <w:rPr>
                <w:rtl w:val="0"/>
              </w:rPr>
            </w:r>
          </w:p>
        </w:tc>
        <w:tc>
          <w:tcPr>
            <w:shd w:fill="ffffff" w:val="clear"/>
          </w:tcPr>
          <w:p w:rsidR="00000000" w:rsidDel="00000000" w:rsidP="00000000" w:rsidRDefault="00000000" w:rsidRPr="00000000" w14:paraId="0000005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tcBorders>
              <w:bottom w:color="000000" w:space="0" w:sz="4" w:val="single"/>
            </w:tcBorders>
            <w:shd w:fill="ffffff" w:val="clear"/>
          </w:tcPr>
          <w:p w:rsidR="00000000" w:rsidDel="00000000" w:rsidP="00000000" w:rsidRDefault="00000000" w:rsidRPr="00000000" w14:paraId="0000005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5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5C">
      <w:pPr>
        <w:spacing w:after="0" w:lineRule="auto"/>
        <w:rPr>
          <w:rFonts w:ascii="Arial" w:cs="Arial" w:eastAsia="Arial" w:hAnsi="Arial"/>
          <w:sz w:val="24"/>
          <w:szCs w:val="24"/>
        </w:rPr>
      </w:pPr>
      <w:r w:rsidDel="00000000" w:rsidR="00000000" w:rsidRPr="00000000">
        <w:rPr>
          <w:rtl w:val="0"/>
        </w:rPr>
      </w:r>
    </w:p>
    <w:sectPr>
      <w:headerReference r:id="rId9" w:type="defaul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F">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RM6188                                           </w:t>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1">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v3.3</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2">
    <w:pPr>
      <w:tabs>
        <w:tab w:val="center" w:pos="4513"/>
        <w:tab w:val="right"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Calibri" w:cs="Calibri" w:eastAsia="Calibri" w:hAnsi="Calibri"/>
        <w:b w:val="0"/>
        <w:i w:val="0"/>
        <w:smallCaps w:val="0"/>
        <w:strike w:val="0"/>
        <w:color w:val="bfbfbf"/>
        <w:sz w:val="22"/>
        <w:szCs w:val="22"/>
        <w:u w:val="none"/>
        <w:shd w:fill="auto" w:val="clear"/>
        <w:vertAlign w:val="baseline"/>
        <w:rtl w:val="0"/>
      </w:rPr>
      <w:t xml:space="preserve">Project Version: v1.0</w:t>
      <w:tab/>
      <w:tab/>
      <w:tab/>
      <w:t xml:space="preserve"> </w:t>
    </w:r>
    <w:r w:rsidDel="00000000" w:rsidR="00000000" w:rsidRPr="00000000">
      <w:rPr>
        <w:rFonts w:ascii="Calibri" w:cs="Calibri" w:eastAsia="Calibri" w:hAnsi="Calibri"/>
        <w:b w:val="0"/>
        <w:i w:val="0"/>
        <w:smallCaps w:val="0"/>
        <w:strike w:val="0"/>
        <w:color w:val="bfbfbf"/>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4">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7 (Financial Difficulties)</w:t>
    </w:r>
    <w:r w:rsidDel="00000000" w:rsidR="00000000" w:rsidRPr="00000000">
      <w:rPr>
        <w:rtl w:val="0"/>
      </w:rPr>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w:t>
    </w:r>
    <w:r w:rsidDel="00000000" w:rsidR="00000000" w:rsidRPr="00000000">
      <w:rPr>
        <w:rFonts w:ascii="Arial" w:cs="Arial" w:eastAsia="Arial" w:hAnsi="Arial"/>
        <w:sz w:val="20"/>
        <w:szCs w:val="20"/>
        <w:rtl w:val="0"/>
      </w:rPr>
      <w:t xml:space="preserve">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2"/>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outlineLvl w:val="9"/>
    </w:p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paragraph" w:styleId="GPSmacrorestart" w:customStyle="1">
    <w:name w:val="GPS macro restart"/>
    <w:basedOn w:val="Normal"/>
    <w:qFormat w:val="1"/>
    <w:pPr>
      <w:spacing w:after="0"/>
    </w:pPr>
    <w:rPr>
      <w:color w:val="ffffff"/>
      <w:sz w:val="16"/>
      <w:szCs w:val="16"/>
    </w:rPr>
  </w:style>
  <w:style w:type="paragraph" w:styleId="GPSSchAnnexname" w:customStyle="1">
    <w:name w:val="GPS Sch Annex name"/>
    <w:basedOn w:val="Normal"/>
    <w:link w:val="GPSSchAnnexnameChar"/>
    <w:qFormat w:val="1"/>
    <w:pPr>
      <w:keepNext w:val="1"/>
      <w:overflowPunct w:val="1"/>
      <w:autoSpaceDE w:val="1"/>
      <w:autoSpaceDN w:val="1"/>
      <w:ind w:firstLine="426"/>
      <w:jc w:val="center"/>
      <w:textAlignment w:val="auto"/>
      <w:outlineLvl w:val="1"/>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3IndentChar" w:customStyle="1">
    <w:name w:val="GPS L3 Indent Char"/>
    <w:link w:val="GPSL3Indent"/>
    <w:locked w:val="1"/>
    <w:rPr>
      <w:rFonts w:ascii="Calibri" w:cs="Arial" w:eastAsia="Times New Roman" w:hAnsi="Calibri"/>
      <w:lang w:eastAsia="zh-CN" w:val="en-US"/>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2IndentChar" w:customStyle="1">
    <w:name w:val="GPS L2 Indent Char"/>
    <w:link w:val="GPSL2Indent"/>
    <w:rPr>
      <w:rFonts w:ascii="Calibri" w:cs="Arial" w:eastAsia="Times New Roman" w:hAnsi="Calibri"/>
      <w:szCs w:val="24"/>
    </w:rPr>
  </w:style>
  <w:style w:type="character" w:styleId="GPSSchAnnexnameChar" w:customStyle="1">
    <w:name w:val="GPS Sch Annex name Char"/>
    <w:link w:val="GPSSchAnnexname"/>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Hyperlink">
    <w:name w:val="Hyperlink"/>
    <w:basedOn w:val="DefaultParagraphFont"/>
    <w:uiPriority w:val="99"/>
    <w:semiHidden w:val="1"/>
    <w:unhideWhenUsed w:val="1"/>
    <w:rPr>
      <w:color w:val="0000ff"/>
      <w:u w:val="single"/>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ONMqb7RqBGSCu5schaFc4ygrdyw==">AMUW2mUd4MhxyGPDZgoKs8OWWQXBG+swsnDlv3tvhad56PfP2iO+Iba4p4VZqnSYHGSwL0I189L4CBThvtK0kAdpp407pI45pX9AUf1IBuFV5tM/yelfAtX7ucE8GvFtltFiGSSZUPO3LTP8+ovm2ylbBO3nmswPHBGHe67MsHHBpZhJL9YWWr/tcXGVZu/iCt4pDLQ/BOZYHIH2VgkGsHDvgleMO0KEPt1rs5Ze2kJVchI6kjJDFbMAE5KN6e7vqEECMHvnamavg2FEtpxqR6lP/t30w5J4SjGh5qJp4g7aZSk1zDP7sTKHvi0YQHrvfRn5+lY629pBuVuDOB/4Jlqfl582piHR+Md4M10Fcoy+9mCT4ziJMUKsC69AWIPiZSJRIzSxkEJhmJGOFWuNQEfdAI0x+d73v8MCLawWHp28r3+doVh44l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2018-12-13T09:24:00Z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